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FE94C" w14:textId="7B94349F" w:rsidR="00271D35" w:rsidRDefault="00271D35" w:rsidP="00271D3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</w:rPr>
        <w:t xml:space="preserve">ESSURE </w:t>
      </w:r>
      <w:r>
        <w:rPr>
          <w:rFonts w:ascii="Helvetica" w:hAnsi="Helvetica"/>
          <w:color w:val="000000"/>
        </w:rPr>
        <w:t>was approved for sale in the United States in 2002 based on the information provided to the Food and Drug Administration (FDA) from its Phase II and Pivotal premarket trials. </w:t>
      </w:r>
    </w:p>
    <w:p w14:paraId="2EB5F555" w14:textId="77777777" w:rsidR="00271D35" w:rsidRDefault="00271D35" w:rsidP="00271D3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</w:p>
    <w:p w14:paraId="159186DD" w14:textId="77777777" w:rsidR="00271D35" w:rsidRDefault="00271D35" w:rsidP="00271D3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</w:rPr>
        <w:t>Major flaws with the studies included the lack of comparison to tubal ligation and the small size of the study groups, which included only 745 women.  </w:t>
      </w:r>
    </w:p>
    <w:p w14:paraId="0AEF7C9E" w14:textId="77777777" w:rsidR="00271D35" w:rsidRDefault="00271D35" w:rsidP="00271D3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</w:p>
    <w:p w14:paraId="208C72F2" w14:textId="77777777" w:rsidR="00271D35" w:rsidRDefault="00271D35" w:rsidP="00271D3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</w:rPr>
        <w:t>Of the 745 women, less than 700 were followed for a year and less than 200 for two years.  </w:t>
      </w:r>
    </w:p>
    <w:p w14:paraId="47227492" w14:textId="77777777" w:rsidR="00271D35" w:rsidRDefault="00271D35" w:rsidP="00271D3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</w:p>
    <w:p w14:paraId="0FDEE9E5" w14:textId="77777777" w:rsidR="00271D35" w:rsidRDefault="00271D35" w:rsidP="00271D3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</w:rPr>
        <w:t>Imagine the logic in that fact. Less than 200 women were followed for 2 years, in order to get approval for a medical device designed to be permanently implanted in the human body.    </w:t>
      </w:r>
    </w:p>
    <w:p w14:paraId="75BFBC65" w14:textId="77777777" w:rsidR="00271D35" w:rsidRDefault="00271D35" w:rsidP="00271D3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</w:p>
    <w:p w14:paraId="57AB7676" w14:textId="77777777" w:rsidR="00271D35" w:rsidRDefault="00271D35" w:rsidP="00271D3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</w:rPr>
        <w:t>As such, the validity of the trials significantly suffered due to lack of patient follow-up.  </w:t>
      </w:r>
    </w:p>
    <w:p w14:paraId="67EC6BCD" w14:textId="77777777" w:rsidR="00271D35" w:rsidRDefault="00271D35" w:rsidP="00271D3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</w:p>
    <w:p w14:paraId="73F076A1" w14:textId="77777777" w:rsidR="00271D35" w:rsidRDefault="00271D35" w:rsidP="00271D3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</w:rPr>
        <w:t>Aside from the small size of the study groups, the data collected and presented to the FDA from these trials has been marred by controversy.   </w:t>
      </w:r>
    </w:p>
    <w:p w14:paraId="6B03F28D" w14:textId="77777777" w:rsidR="00271D35" w:rsidRDefault="00271D35" w:rsidP="00271D3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</w:p>
    <w:p w14:paraId="117CF300" w14:textId="77777777" w:rsidR="00271D35" w:rsidRDefault="00271D35" w:rsidP="00271D3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</w:rPr>
        <w:t>To this day, there continue to be allegations that patients' answers were intentionally doctored and falsified in order to get FDA approval.  </w:t>
      </w:r>
    </w:p>
    <w:p w14:paraId="01831082" w14:textId="77777777" w:rsidR="00271D35" w:rsidRDefault="00271D35" w:rsidP="00271D3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</w:p>
    <w:p w14:paraId="1C1D05F9" w14:textId="77777777" w:rsidR="00271D35" w:rsidRDefault="00271D35" w:rsidP="00271D3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</w:rPr>
        <w:t>The data from the trials demonstrated unacceptably high rates of tubal injury, implant migration, chronic pain, and abnormal uterine bleeding.  </w:t>
      </w:r>
    </w:p>
    <w:p w14:paraId="207AE485" w14:textId="77777777" w:rsidR="00271D35" w:rsidRDefault="00271D35" w:rsidP="00271D3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</w:p>
    <w:p w14:paraId="259D971A" w14:textId="33C6CAA5" w:rsidR="00271D35" w:rsidRDefault="00271D35" w:rsidP="00271D3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</w:rPr>
        <w:t xml:space="preserve">ESSURE </w:t>
      </w:r>
      <w:r>
        <w:rPr>
          <w:rFonts w:ascii="Helvetica" w:hAnsi="Helvetica"/>
          <w:color w:val="000000"/>
        </w:rPr>
        <w:t xml:space="preserve">works by intentionally inducing a foreign body reaction which causes scarring and closure of the Fallopian tubes. Yet, the trials failed to evaluate the incidence of any foreign body complication associated with the </w:t>
      </w:r>
      <w:r>
        <w:rPr>
          <w:rFonts w:ascii="Helvetica" w:hAnsi="Helvetica"/>
          <w:color w:val="000000"/>
        </w:rPr>
        <w:t xml:space="preserve">ESSURE </w:t>
      </w:r>
      <w:r>
        <w:rPr>
          <w:rFonts w:ascii="Helvetica" w:hAnsi="Helvetica"/>
          <w:color w:val="000000"/>
        </w:rPr>
        <w:t>device.    </w:t>
      </w:r>
    </w:p>
    <w:p w14:paraId="29BA74EF" w14:textId="77777777" w:rsidR="00271D35" w:rsidRDefault="00271D35" w:rsidP="00271D3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</w:p>
    <w:p w14:paraId="7124C4A8" w14:textId="77777777" w:rsidR="00271D35" w:rsidRDefault="00271D35" w:rsidP="00271D3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</w:rPr>
        <w:t>Autoimmune symptoms, as a known foreign body reaction, were not acknowledged as a potential risk until November 2016 when Bayer was forced by the FDA to include these in its Black Box Warning (BBW) labeling. </w:t>
      </w:r>
    </w:p>
    <w:p w14:paraId="2A9962B2" w14:textId="77777777" w:rsidR="00271D35" w:rsidRDefault="00271D35" w:rsidP="00271D3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</w:p>
    <w:p w14:paraId="596C1A0F" w14:textId="77777777" w:rsidR="00271D35" w:rsidRDefault="00271D35" w:rsidP="00271D3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</w:rPr>
        <w:t>Despite this warning, medical organizations, such as the American College of Obstetricians and Gynecologists (ACOG) and Planned Parenthood downplayed its importance. </w:t>
      </w:r>
    </w:p>
    <w:p w14:paraId="233091A9" w14:textId="77777777" w:rsidR="00271D35" w:rsidRDefault="00271D35" w:rsidP="00271D3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</w:p>
    <w:p w14:paraId="1950BC91" w14:textId="27E5F8DA" w:rsidR="00271D35" w:rsidRDefault="00271D35" w:rsidP="00271D3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</w:rPr>
        <w:t xml:space="preserve">Further, many doctors continued to hide the warning from their patients even after Bayer removed </w:t>
      </w:r>
      <w:r>
        <w:rPr>
          <w:rFonts w:ascii="Helvetica" w:hAnsi="Helvetica"/>
          <w:color w:val="000000"/>
        </w:rPr>
        <w:t xml:space="preserve">ESSURE </w:t>
      </w:r>
      <w:r>
        <w:rPr>
          <w:rFonts w:ascii="Helvetica" w:hAnsi="Helvetica"/>
          <w:color w:val="000000"/>
        </w:rPr>
        <w:t>from the market.     </w:t>
      </w:r>
    </w:p>
    <w:p w14:paraId="495EB4AE" w14:textId="77777777" w:rsidR="00271D35" w:rsidRDefault="00271D35" w:rsidP="00271D3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</w:p>
    <w:p w14:paraId="51466548" w14:textId="5EDDC0DF" w:rsidR="00271D35" w:rsidRDefault="00271D35" w:rsidP="00271D3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</w:rPr>
        <w:t xml:space="preserve">I cannot stress enough that any reasonably intelligent OBGYN could have looked at the premarket data and simply refused to offer the </w:t>
      </w:r>
      <w:r>
        <w:rPr>
          <w:rFonts w:ascii="Helvetica" w:hAnsi="Helvetica"/>
          <w:color w:val="000000"/>
        </w:rPr>
        <w:t xml:space="preserve">ESSURE </w:t>
      </w:r>
      <w:r>
        <w:rPr>
          <w:rFonts w:ascii="Helvetica" w:hAnsi="Helvetica"/>
          <w:color w:val="000000"/>
        </w:rPr>
        <w:t>based solely on its merits.   </w:t>
      </w:r>
    </w:p>
    <w:p w14:paraId="14A84E7B" w14:textId="77777777" w:rsidR="00271D35" w:rsidRDefault="00271D35" w:rsidP="00271D3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</w:p>
    <w:p w14:paraId="17D77790" w14:textId="7853CFB1" w:rsidR="00271D35" w:rsidRDefault="00271D35" w:rsidP="00271D3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</w:rPr>
        <w:t xml:space="preserve">I believe that the majority of OBGYNs that placed the </w:t>
      </w:r>
      <w:r>
        <w:rPr>
          <w:rFonts w:ascii="Helvetica" w:hAnsi="Helvetica"/>
          <w:color w:val="000000"/>
        </w:rPr>
        <w:t xml:space="preserve">ESSURE </w:t>
      </w:r>
      <w:r>
        <w:rPr>
          <w:rFonts w:ascii="Helvetica" w:hAnsi="Helvetica"/>
          <w:color w:val="000000"/>
        </w:rPr>
        <w:t xml:space="preserve">were negligent in recommending </w:t>
      </w:r>
      <w:proofErr w:type="spellStart"/>
      <w:r>
        <w:rPr>
          <w:rFonts w:ascii="Helvetica" w:hAnsi="Helvetica"/>
          <w:color w:val="000000"/>
        </w:rPr>
        <w:t>Essure</w:t>
      </w:r>
      <w:proofErr w:type="spellEnd"/>
      <w:r>
        <w:rPr>
          <w:rFonts w:ascii="Helvetica" w:hAnsi="Helvetica"/>
          <w:color w:val="000000"/>
        </w:rPr>
        <w:t xml:space="preserve">.  </w:t>
      </w:r>
      <w:proofErr w:type="gramStart"/>
      <w:r>
        <w:rPr>
          <w:rFonts w:ascii="Helvetica" w:hAnsi="Helvetica"/>
          <w:color w:val="000000"/>
        </w:rPr>
        <w:t>Unfortunately</w:t>
      </w:r>
      <w:proofErr w:type="gramEnd"/>
      <w:r>
        <w:rPr>
          <w:rFonts w:ascii="Helvetica" w:hAnsi="Helvetica"/>
          <w:color w:val="000000"/>
        </w:rPr>
        <w:t xml:space="preserve"> there have always been deeply ingrained misogynistic attitudes by the OBGYN specialty which is one reason </w:t>
      </w:r>
      <w:r>
        <w:rPr>
          <w:rFonts w:ascii="Helvetica" w:hAnsi="Helvetica"/>
          <w:color w:val="000000"/>
        </w:rPr>
        <w:t xml:space="preserve">ESSURE </w:t>
      </w:r>
      <w:r>
        <w:rPr>
          <w:rFonts w:ascii="Helvetica" w:hAnsi="Helvetica"/>
          <w:color w:val="000000"/>
        </w:rPr>
        <w:t>was able to thrive.  </w:t>
      </w:r>
    </w:p>
    <w:p w14:paraId="40128F9A" w14:textId="77777777" w:rsidR="00271D35" w:rsidRDefault="00271D35" w:rsidP="00271D3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</w:p>
    <w:p w14:paraId="231BDAF1" w14:textId="1CFB49E9" w:rsidR="00271D35" w:rsidRDefault="00271D35" w:rsidP="00271D3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</w:rPr>
        <w:lastRenderedPageBreak/>
        <w:t xml:space="preserve">The other, and more importantly, was the financial benefit of implanting </w:t>
      </w:r>
      <w:proofErr w:type="spellStart"/>
      <w:r>
        <w:rPr>
          <w:rFonts w:ascii="Helvetica" w:hAnsi="Helvetica"/>
          <w:color w:val="000000"/>
        </w:rPr>
        <w:t>Essure</w:t>
      </w:r>
      <w:proofErr w:type="spellEnd"/>
      <w:r>
        <w:rPr>
          <w:rFonts w:ascii="Helvetica" w:hAnsi="Helvetica"/>
          <w:color w:val="000000"/>
        </w:rPr>
        <w:t xml:space="preserve">, which Bayer counted on in selling the </w:t>
      </w:r>
      <w:r>
        <w:rPr>
          <w:rFonts w:ascii="Helvetica" w:hAnsi="Helvetica"/>
          <w:color w:val="000000"/>
        </w:rPr>
        <w:t xml:space="preserve">ESSURE </w:t>
      </w:r>
      <w:r>
        <w:rPr>
          <w:rFonts w:ascii="Helvetica" w:hAnsi="Helvetica"/>
          <w:color w:val="000000"/>
        </w:rPr>
        <w:t>myth.</w:t>
      </w:r>
    </w:p>
    <w:p w14:paraId="7EAB1AC6" w14:textId="77777777" w:rsidR="00271D35" w:rsidRDefault="00271D35" w:rsidP="00271D3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</w:p>
    <w:p w14:paraId="052F2C39" w14:textId="4D9DE46B" w:rsidR="00271D35" w:rsidRDefault="00271D35" w:rsidP="00271D3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</w:rPr>
        <w:t xml:space="preserve">In a future video, I will present the results of the </w:t>
      </w:r>
      <w:proofErr w:type="spellStart"/>
      <w:r>
        <w:rPr>
          <w:rFonts w:ascii="Helvetica" w:hAnsi="Helvetica"/>
          <w:color w:val="000000"/>
        </w:rPr>
        <w:t>postmarket</w:t>
      </w:r>
      <w:proofErr w:type="spellEnd"/>
      <w:r>
        <w:rPr>
          <w:rFonts w:ascii="Helvetica" w:hAnsi="Helvetica"/>
          <w:color w:val="000000"/>
        </w:rPr>
        <w:t xml:space="preserve"> interim data presented by Bayer to the FDA demonstrating the failures of the </w:t>
      </w:r>
      <w:r>
        <w:rPr>
          <w:rFonts w:ascii="Helvetica" w:hAnsi="Helvetica"/>
          <w:color w:val="000000"/>
        </w:rPr>
        <w:t xml:space="preserve">ESSURE </w:t>
      </w:r>
      <w:r>
        <w:rPr>
          <w:rFonts w:ascii="Helvetica" w:hAnsi="Helvetica"/>
          <w:color w:val="000000"/>
        </w:rPr>
        <w:t>device.  </w:t>
      </w:r>
    </w:p>
    <w:p w14:paraId="21311BB7" w14:textId="77777777" w:rsidR="00CD382A" w:rsidRDefault="00CD382A"/>
    <w:sectPr w:rsidR="00CD3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35"/>
    <w:rsid w:val="00271D35"/>
    <w:rsid w:val="00CD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5A4D79"/>
  <w15:chartTrackingRefBased/>
  <w15:docId w15:val="{8EF612C6-AE28-A848-A42D-FD8D5B7B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D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2021-09-20T15:42:00Z</dcterms:created>
  <dcterms:modified xsi:type="dcterms:W3CDTF">2021-09-20T15:43:00Z</dcterms:modified>
</cp:coreProperties>
</file>